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07B" w:rsidRPr="00E31A23" w:rsidRDefault="008B507B" w:rsidP="008B507B">
      <w:pPr>
        <w:tabs>
          <w:tab w:val="left" w:pos="851"/>
        </w:tabs>
        <w:ind w:left="567" w:right="-149"/>
        <w:jc w:val="center"/>
        <w:rPr>
          <w:rFonts w:cs="Arial"/>
          <w:b/>
          <w:color w:val="333333"/>
          <w:sz w:val="28"/>
          <w:szCs w:val="28"/>
          <w:lang w:val="ro-RO"/>
        </w:rPr>
      </w:pPr>
      <w:r w:rsidRPr="00E31A23">
        <w:rPr>
          <w:b/>
          <w:sz w:val="28"/>
          <w:szCs w:val="28"/>
          <w:u w:val="single"/>
          <w:lang w:val="ro-RO"/>
        </w:rPr>
        <w:t xml:space="preserve">RECOMANDĂRI PRIVIND APLICAREA PREVEDERILOR LEGALE DIN </w:t>
      </w:r>
      <w:r w:rsidRPr="00E31A23">
        <w:rPr>
          <w:rFonts w:cs="Arial"/>
          <w:b/>
          <w:sz w:val="28"/>
          <w:szCs w:val="28"/>
          <w:u w:val="single"/>
          <w:lang w:val="ro-RO"/>
        </w:rPr>
        <w:t>SECŢIUNEA A 4-A ”PROTECŢIA COPILULUI CU PĂRINŢI PLECAŢI LA MUNCĂ ÎN STRĂINĂTATE” DIN LEGEA 272/2004 PRIVIND PROTECȚIA ȘI PROMOVAREA DREPTURILOR COPILULUI</w:t>
      </w:r>
      <w:r w:rsidRPr="00E31A23">
        <w:rPr>
          <w:rFonts w:cs="Arial"/>
          <w:b/>
          <w:sz w:val="28"/>
          <w:szCs w:val="28"/>
          <w:lang w:val="ro-RO"/>
        </w:rPr>
        <w:t xml:space="preserve"> </w:t>
      </w:r>
    </w:p>
    <w:p w:rsidR="008B507B" w:rsidRDefault="008B507B" w:rsidP="008B507B">
      <w:pPr>
        <w:tabs>
          <w:tab w:val="left" w:pos="851"/>
        </w:tabs>
        <w:ind w:left="567" w:right="-149"/>
        <w:rPr>
          <w:sz w:val="24"/>
          <w:szCs w:val="24"/>
          <w:lang w:val="ro-RO"/>
        </w:rPr>
      </w:pPr>
    </w:p>
    <w:p w:rsidR="008B507B" w:rsidRDefault="008B507B" w:rsidP="008B507B">
      <w:pPr>
        <w:tabs>
          <w:tab w:val="left" w:pos="851"/>
        </w:tabs>
        <w:ind w:left="567" w:right="-149"/>
        <w:rPr>
          <w:sz w:val="24"/>
          <w:szCs w:val="24"/>
          <w:lang w:val="ro-RO"/>
        </w:rPr>
      </w:pPr>
    </w:p>
    <w:p w:rsidR="008B507B" w:rsidRPr="00F775F4" w:rsidRDefault="008B507B" w:rsidP="008B507B">
      <w:pPr>
        <w:tabs>
          <w:tab w:val="left" w:pos="851"/>
        </w:tabs>
        <w:ind w:left="567" w:right="-149"/>
        <w:rPr>
          <w:sz w:val="24"/>
          <w:szCs w:val="24"/>
          <w:lang w:val="ro-RO"/>
        </w:rPr>
      </w:pPr>
      <w:r w:rsidRPr="00F775F4">
        <w:rPr>
          <w:sz w:val="24"/>
          <w:szCs w:val="24"/>
          <w:lang w:val="ro-RO"/>
        </w:rPr>
        <w:t>Prevederile legale cuprinse în Leg</w:t>
      </w:r>
      <w:r>
        <w:rPr>
          <w:sz w:val="24"/>
          <w:szCs w:val="24"/>
          <w:lang w:val="ro-RO"/>
        </w:rPr>
        <w:t>ea 272/2004 vizează următoarele</w:t>
      </w:r>
      <w:r w:rsidRPr="00F775F4">
        <w:rPr>
          <w:sz w:val="24"/>
          <w:szCs w:val="24"/>
          <w:lang w:val="ro-RO"/>
        </w:rPr>
        <w:t xml:space="preserve"> categorii de persoane: </w:t>
      </w:r>
    </w:p>
    <w:p w:rsidR="008B507B" w:rsidRPr="00F775F4" w:rsidRDefault="008B507B" w:rsidP="008B507B">
      <w:pPr>
        <w:tabs>
          <w:tab w:val="left" w:pos="851"/>
        </w:tabs>
        <w:ind w:left="567" w:right="-149"/>
        <w:rPr>
          <w:sz w:val="24"/>
          <w:szCs w:val="24"/>
          <w:lang w:val="ro-RO"/>
        </w:rPr>
      </w:pPr>
      <w:r w:rsidRPr="00F775F4">
        <w:rPr>
          <w:sz w:val="24"/>
          <w:szCs w:val="24"/>
          <w:lang w:val="ro-RO"/>
        </w:rPr>
        <w:t>-</w:t>
      </w:r>
      <w:r w:rsidRPr="00F775F4">
        <w:rPr>
          <w:sz w:val="24"/>
          <w:szCs w:val="24"/>
          <w:lang w:val="ro-RO"/>
        </w:rPr>
        <w:tab/>
      </w:r>
      <w:r w:rsidRPr="00F775F4">
        <w:rPr>
          <w:sz w:val="24"/>
          <w:szCs w:val="24"/>
          <w:u w:val="single"/>
          <w:lang w:val="ro-RO"/>
        </w:rPr>
        <w:t>Ambii părinţi</w:t>
      </w:r>
      <w:r w:rsidRPr="00F775F4">
        <w:rPr>
          <w:sz w:val="24"/>
          <w:szCs w:val="24"/>
          <w:lang w:val="ro-RO"/>
        </w:rPr>
        <w:t xml:space="preserve"> - Trebuie avută în vedere atât situația în care cei doi părinţi pleacă în acelaşi timp, cât și situația cel mai des întâlnită, în care inițial pleacă un părinte şi ulterior pleacă</w:t>
      </w:r>
      <w:r>
        <w:rPr>
          <w:sz w:val="24"/>
          <w:szCs w:val="24"/>
          <w:lang w:val="ro-RO"/>
        </w:rPr>
        <w:t xml:space="preserve"> și celălalt părinte din țară.</w:t>
      </w:r>
    </w:p>
    <w:p w:rsidR="008B507B" w:rsidRPr="00F775F4" w:rsidRDefault="008B507B" w:rsidP="008B507B">
      <w:pPr>
        <w:tabs>
          <w:tab w:val="left" w:pos="851"/>
        </w:tabs>
        <w:ind w:left="567" w:right="-149"/>
        <w:rPr>
          <w:sz w:val="24"/>
          <w:szCs w:val="24"/>
          <w:lang w:val="ro-RO"/>
        </w:rPr>
      </w:pPr>
      <w:r w:rsidRPr="00F775F4">
        <w:rPr>
          <w:sz w:val="24"/>
          <w:szCs w:val="24"/>
          <w:lang w:val="ro-RO"/>
        </w:rPr>
        <w:t>-</w:t>
      </w:r>
      <w:r w:rsidRPr="00F775F4">
        <w:rPr>
          <w:sz w:val="24"/>
          <w:szCs w:val="24"/>
          <w:lang w:val="ro-RO"/>
        </w:rPr>
        <w:tab/>
      </w:r>
      <w:r w:rsidRPr="00F775F4">
        <w:rPr>
          <w:sz w:val="24"/>
          <w:szCs w:val="24"/>
          <w:u w:val="single"/>
          <w:lang w:val="ro-RO"/>
        </w:rPr>
        <w:t>Părintele care exercită singur autoritatea părintească -</w:t>
      </w:r>
      <w:r w:rsidRPr="00F775F4">
        <w:rPr>
          <w:sz w:val="24"/>
          <w:szCs w:val="24"/>
          <w:lang w:val="ro-RO"/>
        </w:rPr>
        <w:t xml:space="preserve"> Această categorie vizează părinții care exercită singuri autoritatea părintească, urmare a divorțului sau a altor situații în care a fost dispusă o astfel de măsură.</w:t>
      </w:r>
    </w:p>
    <w:p w:rsidR="008B507B" w:rsidRDefault="008B507B" w:rsidP="008B507B">
      <w:pPr>
        <w:tabs>
          <w:tab w:val="left" w:pos="851"/>
        </w:tabs>
        <w:ind w:left="567" w:right="-149"/>
        <w:rPr>
          <w:sz w:val="24"/>
          <w:szCs w:val="24"/>
          <w:lang w:val="ro-RO"/>
        </w:rPr>
      </w:pPr>
      <w:r w:rsidRPr="00F775F4">
        <w:rPr>
          <w:sz w:val="24"/>
          <w:szCs w:val="24"/>
          <w:lang w:val="ro-RO"/>
        </w:rPr>
        <w:t>-</w:t>
      </w:r>
      <w:r w:rsidRPr="00F775F4">
        <w:rPr>
          <w:sz w:val="24"/>
          <w:szCs w:val="24"/>
          <w:lang w:val="ro-RO"/>
        </w:rPr>
        <w:tab/>
      </w:r>
      <w:r w:rsidRPr="00F775F4">
        <w:rPr>
          <w:sz w:val="24"/>
          <w:szCs w:val="24"/>
          <w:u w:val="single"/>
          <w:lang w:val="ro-RO"/>
        </w:rPr>
        <w:t xml:space="preserve">Părintele cu care locuieşte copilul </w:t>
      </w:r>
      <w:r w:rsidRPr="00F775F4">
        <w:rPr>
          <w:sz w:val="24"/>
          <w:szCs w:val="24"/>
          <w:lang w:val="ro-RO"/>
        </w:rPr>
        <w:t xml:space="preserve">– Această categorie vizează părinții care exercită autoritatea părintească în comun, iar urmare a divorțului instanța a stabilit care este părintele cu care copilul va locui în mod obișnuit, urmare desfacerii căsătoriei. </w:t>
      </w:r>
    </w:p>
    <w:p w:rsidR="008C66AD" w:rsidRDefault="008C66AD" w:rsidP="008B507B">
      <w:pPr>
        <w:tabs>
          <w:tab w:val="left" w:pos="851"/>
        </w:tabs>
        <w:ind w:left="567" w:right="-149"/>
        <w:rPr>
          <w:sz w:val="24"/>
          <w:szCs w:val="24"/>
          <w:lang w:val="ro-RO"/>
        </w:rPr>
      </w:pPr>
    </w:p>
    <w:p w:rsidR="008C66AD" w:rsidRDefault="008C66AD" w:rsidP="008B507B">
      <w:pPr>
        <w:tabs>
          <w:tab w:val="left" w:pos="851"/>
        </w:tabs>
        <w:ind w:left="567" w:right="-149"/>
        <w:rPr>
          <w:sz w:val="24"/>
          <w:szCs w:val="24"/>
          <w:lang w:val="ro-RO"/>
        </w:rPr>
      </w:pPr>
    </w:p>
    <w:p w:rsidR="008C66AD" w:rsidRDefault="008C66AD" w:rsidP="008B507B">
      <w:pPr>
        <w:tabs>
          <w:tab w:val="left" w:pos="851"/>
        </w:tabs>
        <w:ind w:left="567" w:right="-149"/>
        <w:rPr>
          <w:sz w:val="24"/>
          <w:szCs w:val="24"/>
          <w:lang w:val="ro-RO"/>
        </w:rPr>
      </w:pPr>
    </w:p>
    <w:p w:rsidR="008C66AD" w:rsidRPr="00F775F4" w:rsidRDefault="008C66AD" w:rsidP="008B507B">
      <w:pPr>
        <w:tabs>
          <w:tab w:val="left" w:pos="851"/>
        </w:tabs>
        <w:ind w:left="567" w:right="-149"/>
        <w:rPr>
          <w:sz w:val="24"/>
          <w:szCs w:val="24"/>
          <w:lang w:val="ro-RO"/>
        </w:rPr>
      </w:pPr>
    </w:p>
    <w:p w:rsidR="008B507B" w:rsidRPr="00E31A23" w:rsidRDefault="008C66AD" w:rsidP="008B507B">
      <w:pPr>
        <w:tabs>
          <w:tab w:val="left" w:pos="851"/>
        </w:tabs>
        <w:ind w:left="567" w:right="-149"/>
        <w:rPr>
          <w:b/>
          <w:sz w:val="28"/>
          <w:szCs w:val="28"/>
          <w:lang w:val="ro-RO"/>
        </w:rPr>
      </w:pPr>
      <w:r>
        <w:rPr>
          <w:sz w:val="24"/>
          <w:szCs w:val="24"/>
          <w:lang w:val="ro-RO"/>
        </w:rPr>
        <w:t xml:space="preserve">                           </w:t>
      </w:r>
      <w:r w:rsidR="008B507B" w:rsidRPr="00E31A23">
        <w:rPr>
          <w:b/>
          <w:sz w:val="28"/>
          <w:szCs w:val="28"/>
          <w:lang w:val="ro-RO"/>
        </w:rPr>
        <w:t>ETAPE ÎN DERULAREA PROCEDURII</w:t>
      </w:r>
    </w:p>
    <w:p w:rsidR="008B507B" w:rsidRDefault="008B507B" w:rsidP="008B507B">
      <w:pPr>
        <w:tabs>
          <w:tab w:val="left" w:pos="851"/>
        </w:tabs>
        <w:ind w:left="567" w:right="-149"/>
        <w:rPr>
          <w:b/>
          <w:sz w:val="28"/>
          <w:szCs w:val="28"/>
          <w:u w:val="single"/>
          <w:lang w:val="ro-RO"/>
        </w:rPr>
      </w:pPr>
      <w:r w:rsidRPr="00E31A23">
        <w:rPr>
          <w:b/>
          <w:sz w:val="28"/>
          <w:szCs w:val="28"/>
          <w:u w:val="single"/>
          <w:lang w:val="ro-RO"/>
        </w:rPr>
        <w:t>1.</w:t>
      </w:r>
      <w:r w:rsidRPr="00E31A23">
        <w:rPr>
          <w:b/>
          <w:sz w:val="28"/>
          <w:szCs w:val="28"/>
          <w:u w:val="single"/>
          <w:lang w:val="ro-RO"/>
        </w:rPr>
        <w:tab/>
      </w:r>
    </w:p>
    <w:p w:rsidR="008B507B" w:rsidRPr="00E31A23" w:rsidRDefault="008B507B" w:rsidP="008B507B">
      <w:pPr>
        <w:tabs>
          <w:tab w:val="left" w:pos="851"/>
        </w:tabs>
        <w:ind w:left="567" w:right="-149"/>
        <w:rPr>
          <w:b/>
          <w:sz w:val="28"/>
          <w:szCs w:val="28"/>
          <w:u w:val="single"/>
          <w:lang w:val="ro-RO"/>
        </w:rPr>
      </w:pPr>
      <w:r>
        <w:rPr>
          <w:b/>
          <w:sz w:val="28"/>
          <w:szCs w:val="28"/>
          <w:u w:val="single"/>
          <w:lang w:val="ro-RO"/>
        </w:rPr>
        <w:t>a.</w:t>
      </w:r>
      <w:r w:rsidRPr="00E31A23">
        <w:rPr>
          <w:b/>
          <w:sz w:val="28"/>
          <w:szCs w:val="28"/>
          <w:u w:val="single"/>
          <w:lang w:val="ro-RO"/>
        </w:rPr>
        <w:t>Transmiterea notificării către Serviciul Public de Asistență Socială din localitatea de la domiciliu</w:t>
      </w:r>
    </w:p>
    <w:p w:rsidR="008B507B" w:rsidRPr="00F775F4" w:rsidRDefault="008B507B" w:rsidP="008B507B">
      <w:pPr>
        <w:tabs>
          <w:tab w:val="left" w:pos="851"/>
        </w:tabs>
        <w:ind w:left="567" w:right="-149"/>
        <w:rPr>
          <w:sz w:val="24"/>
          <w:szCs w:val="24"/>
          <w:lang w:val="ro-RO"/>
        </w:rPr>
      </w:pPr>
      <w:r w:rsidRPr="00F775F4">
        <w:rPr>
          <w:sz w:val="24"/>
          <w:szCs w:val="24"/>
          <w:lang w:val="ro-RO"/>
        </w:rPr>
        <w:t xml:space="preserve">Părintele care se regăseşte într-una din situaţiile enumerate anterior trebuie să notifice intenţia de a pleca la muncă în străinătate Serviciului Public de Asistenţă Socială din localitatea de domiciliu. </w:t>
      </w:r>
    </w:p>
    <w:p w:rsidR="008B507B" w:rsidRPr="006A4CB9" w:rsidRDefault="008B507B" w:rsidP="008B507B">
      <w:pPr>
        <w:tabs>
          <w:tab w:val="left" w:pos="851"/>
        </w:tabs>
        <w:ind w:left="567" w:right="-149"/>
        <w:rPr>
          <w:sz w:val="24"/>
          <w:szCs w:val="24"/>
          <w:lang w:val="ro-RO"/>
        </w:rPr>
      </w:pPr>
      <w:r w:rsidRPr="006A4CB9">
        <w:rPr>
          <w:b/>
          <w:i/>
          <w:sz w:val="24"/>
          <w:szCs w:val="24"/>
          <w:lang w:val="ro-RO"/>
        </w:rPr>
        <w:t>Obligația notificării SPAS revine tuturor părinților care pleacă la muncă în străinătate</w:t>
      </w:r>
      <w:r w:rsidRPr="006A4CB9">
        <w:rPr>
          <w:sz w:val="24"/>
          <w:szCs w:val="24"/>
          <w:lang w:val="ro-RO"/>
        </w:rPr>
        <w:t xml:space="preserve"> din categoriile mai sus menționate, </w:t>
      </w:r>
      <w:r w:rsidRPr="006A4CB9">
        <w:rPr>
          <w:b/>
          <w:i/>
          <w:sz w:val="24"/>
          <w:szCs w:val="24"/>
          <w:lang w:val="ro-RO"/>
        </w:rPr>
        <w:t>indiferent dacă munca în străinătate implică sau nu și existența unui contract de muncă</w:t>
      </w:r>
      <w:r w:rsidRPr="006A4CB9">
        <w:rPr>
          <w:sz w:val="24"/>
          <w:szCs w:val="24"/>
          <w:lang w:val="ro-RO"/>
        </w:rPr>
        <w:t xml:space="preserve">. </w:t>
      </w:r>
    </w:p>
    <w:p w:rsidR="008B507B" w:rsidRPr="00F775F4" w:rsidRDefault="008B507B" w:rsidP="008B507B">
      <w:pPr>
        <w:tabs>
          <w:tab w:val="left" w:pos="851"/>
        </w:tabs>
        <w:ind w:left="567" w:right="-149"/>
        <w:rPr>
          <w:sz w:val="24"/>
          <w:szCs w:val="24"/>
          <w:lang w:val="ro-RO"/>
        </w:rPr>
      </w:pPr>
      <w:r w:rsidRPr="00F775F4">
        <w:rPr>
          <w:sz w:val="24"/>
          <w:szCs w:val="24"/>
          <w:lang w:val="ro-RO"/>
        </w:rPr>
        <w:t xml:space="preserve">Notificarea SPAS poate fi realizată prin: </w:t>
      </w:r>
    </w:p>
    <w:p w:rsidR="008B507B" w:rsidRPr="00F775F4" w:rsidRDefault="008B507B" w:rsidP="008B507B">
      <w:pPr>
        <w:pStyle w:val="ListParagraph"/>
        <w:numPr>
          <w:ilvl w:val="0"/>
          <w:numId w:val="2"/>
        </w:numPr>
        <w:tabs>
          <w:tab w:val="left" w:pos="851"/>
        </w:tabs>
        <w:spacing w:after="120" w:line="276" w:lineRule="auto"/>
        <w:ind w:left="567" w:right="-149" w:firstLine="0"/>
        <w:jc w:val="both"/>
        <w:rPr>
          <w:rFonts w:ascii="Trebuchet MS" w:hAnsi="Trebuchet MS"/>
          <w:sz w:val="24"/>
          <w:szCs w:val="24"/>
        </w:rPr>
      </w:pPr>
      <w:r w:rsidRPr="00F775F4">
        <w:rPr>
          <w:rFonts w:ascii="Trebuchet MS" w:hAnsi="Trebuchet MS"/>
          <w:sz w:val="24"/>
          <w:szCs w:val="24"/>
        </w:rPr>
        <w:lastRenderedPageBreak/>
        <w:t xml:space="preserve">depunerea notificării de către părintele interesat direct la sediul Primăriei de domiciliu, </w:t>
      </w:r>
    </w:p>
    <w:p w:rsidR="008B507B" w:rsidRPr="00F775F4" w:rsidRDefault="008B507B" w:rsidP="008B507B">
      <w:pPr>
        <w:pStyle w:val="ListParagraph"/>
        <w:numPr>
          <w:ilvl w:val="0"/>
          <w:numId w:val="2"/>
        </w:numPr>
        <w:tabs>
          <w:tab w:val="left" w:pos="851"/>
        </w:tabs>
        <w:spacing w:after="120" w:line="276" w:lineRule="auto"/>
        <w:ind w:left="567" w:right="-149" w:firstLine="0"/>
        <w:jc w:val="both"/>
        <w:rPr>
          <w:rFonts w:ascii="Trebuchet MS" w:hAnsi="Trebuchet MS"/>
          <w:sz w:val="24"/>
          <w:szCs w:val="24"/>
        </w:rPr>
      </w:pPr>
      <w:r w:rsidRPr="00F775F4">
        <w:rPr>
          <w:rFonts w:ascii="Trebuchet MS" w:hAnsi="Trebuchet MS"/>
          <w:sz w:val="24"/>
          <w:szCs w:val="24"/>
        </w:rPr>
        <w:t>prin transmiterea acesteia prin e-mail, fax, scrisoare, poștă, curier etc. la SPAS</w:t>
      </w:r>
    </w:p>
    <w:p w:rsidR="008B507B" w:rsidRPr="00F775F4" w:rsidRDefault="008C66AD" w:rsidP="008B507B">
      <w:pPr>
        <w:tabs>
          <w:tab w:val="left" w:pos="851"/>
        </w:tabs>
        <w:ind w:left="567" w:right="-149"/>
        <w:rPr>
          <w:sz w:val="24"/>
          <w:szCs w:val="24"/>
          <w:lang w:val="ro-RO"/>
        </w:rPr>
      </w:pPr>
      <w:r>
        <w:rPr>
          <w:sz w:val="24"/>
          <w:szCs w:val="24"/>
          <w:lang w:val="ro-RO"/>
        </w:rPr>
        <w:t>Î</w:t>
      </w:r>
      <w:r w:rsidR="008B507B" w:rsidRPr="00F775F4">
        <w:rPr>
          <w:sz w:val="24"/>
          <w:szCs w:val="24"/>
          <w:lang w:val="ro-RO"/>
        </w:rPr>
        <w:t>n cuprinsul notificării vor trebui să se regăsească în mod obligatoriu următoarele elemente:</w:t>
      </w:r>
    </w:p>
    <w:p w:rsidR="008B507B" w:rsidRPr="00F775F4" w:rsidRDefault="008B507B" w:rsidP="008B507B">
      <w:pPr>
        <w:pStyle w:val="ListParagraph"/>
        <w:numPr>
          <w:ilvl w:val="0"/>
          <w:numId w:val="1"/>
        </w:numPr>
        <w:tabs>
          <w:tab w:val="left" w:pos="851"/>
        </w:tabs>
        <w:spacing w:after="120" w:line="276" w:lineRule="auto"/>
        <w:ind w:left="567" w:right="-149" w:firstLine="0"/>
        <w:jc w:val="both"/>
        <w:rPr>
          <w:rFonts w:ascii="Trebuchet MS" w:hAnsi="Trebuchet MS"/>
          <w:sz w:val="24"/>
          <w:szCs w:val="24"/>
        </w:rPr>
      </w:pPr>
      <w:r w:rsidRPr="0004158A">
        <w:rPr>
          <w:rFonts w:ascii="Trebuchet MS" w:hAnsi="Trebuchet MS"/>
          <w:b/>
          <w:i/>
          <w:sz w:val="24"/>
          <w:szCs w:val="24"/>
        </w:rPr>
        <w:t>datele de identitate ale persoanei în grija căreia va fi lăsat copilul</w:t>
      </w:r>
      <w:r w:rsidRPr="00F775F4">
        <w:rPr>
          <w:rFonts w:ascii="Trebuchet MS" w:hAnsi="Trebuchet MS"/>
          <w:sz w:val="24"/>
          <w:szCs w:val="24"/>
        </w:rPr>
        <w:t xml:space="preserve"> pe durata absenței din țară a părintelui/părinților,  </w:t>
      </w:r>
    </w:p>
    <w:p w:rsidR="008B507B" w:rsidRPr="00F775F4" w:rsidRDefault="008B507B" w:rsidP="008B507B">
      <w:pPr>
        <w:pStyle w:val="ListParagraph"/>
        <w:numPr>
          <w:ilvl w:val="0"/>
          <w:numId w:val="1"/>
        </w:numPr>
        <w:tabs>
          <w:tab w:val="left" w:pos="851"/>
        </w:tabs>
        <w:spacing w:after="120" w:line="276" w:lineRule="auto"/>
        <w:ind w:left="567" w:right="-149" w:firstLine="0"/>
        <w:jc w:val="both"/>
        <w:rPr>
          <w:rFonts w:ascii="Trebuchet MS" w:hAnsi="Trebuchet MS"/>
          <w:sz w:val="24"/>
          <w:szCs w:val="24"/>
        </w:rPr>
      </w:pPr>
      <w:r w:rsidRPr="0004158A">
        <w:rPr>
          <w:rFonts w:ascii="Trebuchet MS" w:hAnsi="Trebuchet MS"/>
          <w:b/>
          <w:i/>
          <w:sz w:val="24"/>
          <w:szCs w:val="24"/>
        </w:rPr>
        <w:t>adresa la care copilul va urma să locuiască în viitor</w:t>
      </w:r>
      <w:r w:rsidRPr="00F775F4">
        <w:rPr>
          <w:rFonts w:ascii="Trebuchet MS" w:hAnsi="Trebuchet MS"/>
          <w:sz w:val="24"/>
          <w:szCs w:val="24"/>
        </w:rPr>
        <w:t>, după plecarea părintelui/părinților,</w:t>
      </w:r>
    </w:p>
    <w:p w:rsidR="008B507B" w:rsidRPr="00F775F4" w:rsidRDefault="008B507B" w:rsidP="008B507B">
      <w:pPr>
        <w:pStyle w:val="ListParagraph"/>
        <w:numPr>
          <w:ilvl w:val="0"/>
          <w:numId w:val="1"/>
        </w:numPr>
        <w:tabs>
          <w:tab w:val="left" w:pos="851"/>
        </w:tabs>
        <w:spacing w:after="120" w:line="276" w:lineRule="auto"/>
        <w:ind w:left="567" w:right="-149" w:firstLine="0"/>
        <w:jc w:val="both"/>
        <w:rPr>
          <w:rFonts w:ascii="Trebuchet MS" w:hAnsi="Trebuchet MS"/>
          <w:sz w:val="24"/>
          <w:szCs w:val="24"/>
        </w:rPr>
      </w:pPr>
      <w:r w:rsidRPr="0004158A">
        <w:rPr>
          <w:rFonts w:ascii="Trebuchet MS" w:hAnsi="Trebuchet MS"/>
          <w:b/>
          <w:i/>
          <w:sz w:val="24"/>
          <w:szCs w:val="24"/>
        </w:rPr>
        <w:t>îndeplinirea de către persoana în grija căreia urmează a fi lăsat copilul a condițiilor prevăzute la art. 105, alin. (1) din legea 272/2004</w:t>
      </w:r>
      <w:r w:rsidRPr="0004158A">
        <w:rPr>
          <w:rFonts w:ascii="Trebuchet MS" w:hAnsi="Trebuchet MS"/>
          <w:sz w:val="24"/>
          <w:szCs w:val="24"/>
        </w:rPr>
        <w:t>,</w:t>
      </w:r>
      <w:r w:rsidRPr="00F775F4">
        <w:rPr>
          <w:rFonts w:ascii="Trebuchet MS" w:hAnsi="Trebuchet MS"/>
          <w:sz w:val="24"/>
          <w:szCs w:val="24"/>
        </w:rPr>
        <w:t xml:space="preserve"> referitoare la apartenența acesteia la familia extinsă (să fie rudă până la gradul IV inclusiv, cu minorul – persoana poate fi bunic, unchi/mătuşă, văr, nepot, frate/soră, străbunic, frate al unui bunic), la vârstă - să aibă minimum 18 ani împliniţi.</w:t>
      </w:r>
    </w:p>
    <w:p w:rsidR="008B507B" w:rsidRPr="0004158A" w:rsidRDefault="008B507B" w:rsidP="008B507B">
      <w:pPr>
        <w:tabs>
          <w:tab w:val="left" w:pos="851"/>
        </w:tabs>
        <w:ind w:left="0" w:right="-149"/>
        <w:rPr>
          <w:sz w:val="24"/>
          <w:szCs w:val="24"/>
          <w:lang w:val="ro-RO"/>
        </w:rPr>
      </w:pPr>
    </w:p>
    <w:p w:rsidR="008B507B" w:rsidRPr="0004158A" w:rsidRDefault="008C66AD" w:rsidP="008B507B">
      <w:pPr>
        <w:tabs>
          <w:tab w:val="left" w:pos="851"/>
        </w:tabs>
        <w:ind w:left="567" w:right="-149"/>
        <w:rPr>
          <w:b/>
          <w:i/>
          <w:sz w:val="24"/>
          <w:szCs w:val="24"/>
          <w:u w:val="single"/>
          <w:lang w:val="ro-RO"/>
        </w:rPr>
      </w:pPr>
      <w:r>
        <w:rPr>
          <w:b/>
          <w:i/>
          <w:sz w:val="24"/>
          <w:szCs w:val="24"/>
          <w:u w:val="single"/>
          <w:lang w:val="ro-RO"/>
        </w:rPr>
        <w:t>N</w:t>
      </w:r>
      <w:r w:rsidR="008B507B" w:rsidRPr="0004158A">
        <w:rPr>
          <w:b/>
          <w:i/>
          <w:sz w:val="24"/>
          <w:szCs w:val="24"/>
          <w:u w:val="single"/>
          <w:lang w:val="ro-RO"/>
        </w:rPr>
        <w:t xml:space="preserve">otificarea </w:t>
      </w:r>
      <w:r>
        <w:rPr>
          <w:b/>
          <w:i/>
          <w:sz w:val="24"/>
          <w:szCs w:val="24"/>
          <w:u w:val="single"/>
          <w:lang w:val="ro-RO"/>
        </w:rPr>
        <w:t>trebuie</w:t>
      </w:r>
      <w:r w:rsidR="008B507B" w:rsidRPr="0004158A">
        <w:rPr>
          <w:b/>
          <w:i/>
          <w:sz w:val="24"/>
          <w:szCs w:val="24"/>
          <w:u w:val="single"/>
          <w:lang w:val="ro-RO"/>
        </w:rPr>
        <w:t xml:space="preserve"> depusă cu </w:t>
      </w:r>
      <w:r>
        <w:rPr>
          <w:b/>
          <w:i/>
          <w:sz w:val="24"/>
          <w:szCs w:val="24"/>
          <w:u w:val="single"/>
          <w:lang w:val="ro-RO"/>
        </w:rPr>
        <w:t>cel</w:t>
      </w:r>
      <w:r w:rsidR="008B507B" w:rsidRPr="0004158A">
        <w:rPr>
          <w:b/>
          <w:i/>
          <w:sz w:val="24"/>
          <w:szCs w:val="24"/>
          <w:u w:val="single"/>
          <w:lang w:val="ro-RO"/>
        </w:rPr>
        <w:t xml:space="preserve"> puțin de 40 de zile înainte de plecarea părintelui/părinților din țară.</w:t>
      </w:r>
    </w:p>
    <w:p w:rsidR="008B507B" w:rsidRPr="00F775F4" w:rsidRDefault="008B507B" w:rsidP="008B507B">
      <w:pPr>
        <w:tabs>
          <w:tab w:val="left" w:pos="851"/>
        </w:tabs>
        <w:ind w:left="567" w:right="-149"/>
        <w:rPr>
          <w:b/>
          <w:i/>
          <w:color w:val="FF0000"/>
          <w:sz w:val="24"/>
          <w:szCs w:val="24"/>
          <w:u w:val="single"/>
          <w:lang w:val="ro-RO"/>
        </w:rPr>
      </w:pPr>
    </w:p>
    <w:p w:rsidR="008B507B" w:rsidRDefault="008B507B" w:rsidP="008B507B">
      <w:pPr>
        <w:tabs>
          <w:tab w:val="left" w:pos="851"/>
        </w:tabs>
        <w:ind w:left="567" w:right="-149"/>
        <w:rPr>
          <w:b/>
          <w:sz w:val="28"/>
          <w:szCs w:val="28"/>
          <w:u w:val="single"/>
          <w:lang w:val="ro-RO"/>
        </w:rPr>
      </w:pPr>
      <w:r>
        <w:rPr>
          <w:b/>
          <w:sz w:val="28"/>
          <w:szCs w:val="28"/>
          <w:u w:val="single"/>
          <w:lang w:val="ro-RO"/>
        </w:rPr>
        <w:t>b. Completarea de către părinte a cererii către instanța de judecată</w:t>
      </w:r>
    </w:p>
    <w:p w:rsidR="008C66AD" w:rsidRPr="008C66AD" w:rsidRDefault="008B507B" w:rsidP="008B507B">
      <w:pPr>
        <w:pStyle w:val="ListParagraph"/>
        <w:numPr>
          <w:ilvl w:val="0"/>
          <w:numId w:val="3"/>
        </w:numPr>
        <w:tabs>
          <w:tab w:val="left" w:pos="851"/>
        </w:tabs>
        <w:spacing w:after="240" w:line="276" w:lineRule="auto"/>
        <w:ind w:left="567" w:right="-147"/>
        <w:contextualSpacing/>
        <w:jc w:val="both"/>
        <w:rPr>
          <w:sz w:val="24"/>
          <w:szCs w:val="24"/>
        </w:rPr>
      </w:pPr>
      <w:r w:rsidRPr="008C66AD">
        <w:rPr>
          <w:rFonts w:ascii="Trebuchet MS" w:eastAsia="Times New Roman" w:hAnsi="Trebuchet MS" w:cs="Calibri"/>
          <w:sz w:val="24"/>
          <w:szCs w:val="24"/>
          <w:lang w:eastAsia="ro-RO"/>
        </w:rPr>
        <w:t xml:space="preserve">Recomandăm ca, în același timp cu </w:t>
      </w:r>
      <w:r w:rsidRPr="008C66AD">
        <w:rPr>
          <w:rFonts w:ascii="Trebuchet MS" w:eastAsia="Times New Roman" w:hAnsi="Trebuchet MS" w:cs="Calibri"/>
          <w:b/>
          <w:sz w:val="24"/>
          <w:szCs w:val="24"/>
          <w:lang w:eastAsia="ro-RO"/>
        </w:rPr>
        <w:t>notificarea către SPAS,</w:t>
      </w:r>
      <w:r w:rsidRPr="008C66AD">
        <w:rPr>
          <w:rFonts w:ascii="Trebuchet MS" w:eastAsia="Times New Roman" w:hAnsi="Trebuchet MS" w:cs="Calibri"/>
          <w:sz w:val="24"/>
          <w:szCs w:val="24"/>
          <w:lang w:eastAsia="ro-RO"/>
        </w:rPr>
        <w:t xml:space="preserve"> părintele să formuleze și </w:t>
      </w:r>
      <w:r w:rsidRPr="008C66AD">
        <w:rPr>
          <w:rFonts w:ascii="Trebuchet MS" w:eastAsia="Times New Roman" w:hAnsi="Trebuchet MS" w:cs="Calibri"/>
          <w:b/>
          <w:sz w:val="24"/>
          <w:szCs w:val="24"/>
          <w:lang w:eastAsia="ro-RO"/>
        </w:rPr>
        <w:t>cererea către instanța de judecată</w:t>
      </w:r>
      <w:r w:rsidRPr="008C66AD">
        <w:rPr>
          <w:rFonts w:ascii="Trebuchet MS" w:eastAsia="Times New Roman" w:hAnsi="Trebuchet MS" w:cs="Calibri"/>
          <w:sz w:val="24"/>
          <w:szCs w:val="24"/>
          <w:lang w:eastAsia="ro-RO"/>
        </w:rPr>
        <w:t xml:space="preserve">, astfel încât după realizarea anchetei sociale și colectarea celorlalte acte necesare la instanță, SPAS să poată transmite către instanța de judecată toate aceste documente </w:t>
      </w:r>
    </w:p>
    <w:p w:rsidR="008B507B" w:rsidRPr="003B3752" w:rsidRDefault="008B507B" w:rsidP="008B507B">
      <w:pPr>
        <w:tabs>
          <w:tab w:val="left" w:pos="851"/>
        </w:tabs>
        <w:ind w:left="567" w:right="-149"/>
        <w:rPr>
          <w:sz w:val="24"/>
          <w:szCs w:val="24"/>
          <w:lang w:val="ro-RO"/>
        </w:rPr>
      </w:pPr>
      <w:r w:rsidRPr="00F775F4">
        <w:rPr>
          <w:sz w:val="24"/>
          <w:szCs w:val="24"/>
          <w:lang w:val="ro-RO"/>
        </w:rPr>
        <w:t xml:space="preserve">Menționăm că, conform Secțiunii 4 din Legea 272/2004 modificată, notificarea SPAS cu privire la persoana în care grija căreia va rămâne copilul este doar o etapă în procedura de delegare a autorității părintești, neavând nicio valoare juridică în sine, procedura fiind definitivată doar de instanța de judecată. </w:t>
      </w:r>
    </w:p>
    <w:p w:rsidR="008B507B" w:rsidRPr="00F775F4" w:rsidRDefault="008B507B" w:rsidP="008B507B">
      <w:pPr>
        <w:tabs>
          <w:tab w:val="left" w:pos="851"/>
        </w:tabs>
        <w:ind w:left="0" w:right="-149"/>
        <w:rPr>
          <w:sz w:val="24"/>
          <w:szCs w:val="24"/>
          <w:lang w:val="ro-RO"/>
        </w:rPr>
      </w:pPr>
    </w:p>
    <w:p w:rsidR="008B507B" w:rsidRDefault="008B507B"/>
    <w:p w:rsidR="008B507B" w:rsidRDefault="008B507B" w:rsidP="008B507B"/>
    <w:p w:rsidR="00936658" w:rsidRPr="008B507B" w:rsidRDefault="00936658" w:rsidP="008C66AD"/>
    <w:sectPr w:rsidR="00936658" w:rsidRPr="008B507B" w:rsidSect="009366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42C" w:rsidRDefault="0004242C" w:rsidP="008B507B">
      <w:pPr>
        <w:spacing w:after="0" w:line="240" w:lineRule="auto"/>
      </w:pPr>
      <w:r>
        <w:separator/>
      </w:r>
    </w:p>
  </w:endnote>
  <w:endnote w:type="continuationSeparator" w:id="0">
    <w:p w:rsidR="0004242C" w:rsidRDefault="0004242C" w:rsidP="008B5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42C" w:rsidRDefault="0004242C" w:rsidP="008B507B">
      <w:pPr>
        <w:spacing w:after="0" w:line="240" w:lineRule="auto"/>
      </w:pPr>
      <w:r>
        <w:separator/>
      </w:r>
    </w:p>
  </w:footnote>
  <w:footnote w:type="continuationSeparator" w:id="0">
    <w:p w:rsidR="0004242C" w:rsidRDefault="0004242C" w:rsidP="008B50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338E"/>
    <w:multiLevelType w:val="hybridMultilevel"/>
    <w:tmpl w:val="923213FC"/>
    <w:lvl w:ilvl="0" w:tplc="7D6E7344">
      <w:start w:val="1"/>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2B112D3"/>
    <w:multiLevelType w:val="hybridMultilevel"/>
    <w:tmpl w:val="9526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73C1F"/>
    <w:multiLevelType w:val="hybridMultilevel"/>
    <w:tmpl w:val="180A7A84"/>
    <w:lvl w:ilvl="0" w:tplc="FD1A9366">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E33324A"/>
    <w:multiLevelType w:val="hybridMultilevel"/>
    <w:tmpl w:val="E73ED95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507B"/>
    <w:rsid w:val="0004242C"/>
    <w:rsid w:val="008B507B"/>
    <w:rsid w:val="008C66AD"/>
    <w:rsid w:val="00936658"/>
    <w:rsid w:val="00AF0C2C"/>
    <w:rsid w:val="00E24822"/>
    <w:rsid w:val="00FA3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7B"/>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7B"/>
    <w:pPr>
      <w:spacing w:after="0" w:line="240" w:lineRule="auto"/>
      <w:ind w:left="720"/>
      <w:jc w:val="left"/>
    </w:pPr>
    <w:rPr>
      <w:rFonts w:ascii="Calibri" w:eastAsia="Calibri" w:hAnsi="Calibri"/>
      <w:lang w:val="ro-RO"/>
    </w:rPr>
  </w:style>
  <w:style w:type="paragraph" w:styleId="FootnoteText">
    <w:name w:val="footnote text"/>
    <w:basedOn w:val="Normal"/>
    <w:link w:val="FootnoteTextChar"/>
    <w:uiPriority w:val="99"/>
    <w:rsid w:val="008B507B"/>
    <w:pPr>
      <w:spacing w:after="0" w:line="240" w:lineRule="auto"/>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8B507B"/>
    <w:rPr>
      <w:rFonts w:ascii="Times New Roman" w:eastAsia="Times New Roman" w:hAnsi="Times New Roman" w:cs="Times New Roman"/>
      <w:sz w:val="20"/>
      <w:szCs w:val="20"/>
    </w:rPr>
  </w:style>
  <w:style w:type="character" w:styleId="FootnoteReference">
    <w:name w:val="footnote reference"/>
    <w:rsid w:val="008B507B"/>
    <w:rPr>
      <w:vertAlign w:val="superscript"/>
    </w:rPr>
  </w:style>
  <w:style w:type="character" w:customStyle="1" w:styleId="slitbdy">
    <w:name w:val="s_lit_bdy"/>
    <w:basedOn w:val="DefaultParagraphFont"/>
    <w:rsid w:val="008B50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2019-05-20T11:22:00Z</cp:lastPrinted>
  <dcterms:created xsi:type="dcterms:W3CDTF">2019-05-20T11:23:00Z</dcterms:created>
  <dcterms:modified xsi:type="dcterms:W3CDTF">2019-05-20T11:23:00Z</dcterms:modified>
</cp:coreProperties>
</file>